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B700" w14:textId="2123F709" w:rsidR="00A61A66" w:rsidRDefault="00A61A66">
      <w:pPr>
        <w:rPr>
          <w:color w:val="000000" w:themeColor="text1"/>
          <w:sz w:val="28"/>
          <w:szCs w:val="28"/>
        </w:rPr>
      </w:pPr>
      <w:r>
        <w:rPr>
          <w:color w:val="000000" w:themeColor="text1"/>
          <w:sz w:val="28"/>
          <w:szCs w:val="28"/>
        </w:rPr>
        <w:t>Ordinance Amendment: # 02-2019</w:t>
      </w:r>
    </w:p>
    <w:p w14:paraId="0FACB0A8" w14:textId="77777777" w:rsidR="00A61A66" w:rsidRDefault="00A61A66">
      <w:pPr>
        <w:rPr>
          <w:color w:val="000000" w:themeColor="text1"/>
          <w:sz w:val="28"/>
          <w:szCs w:val="28"/>
        </w:rPr>
      </w:pPr>
      <w:r>
        <w:rPr>
          <w:color w:val="000000" w:themeColor="text1"/>
          <w:sz w:val="28"/>
          <w:szCs w:val="28"/>
        </w:rPr>
        <w:t xml:space="preserve">Section 3.07.09 </w:t>
      </w:r>
      <w:bookmarkStart w:id="0" w:name="_Hlk16499932"/>
      <w:r>
        <w:rPr>
          <w:color w:val="000000" w:themeColor="text1"/>
          <w:sz w:val="28"/>
          <w:szCs w:val="28"/>
        </w:rPr>
        <w:t>Supplementary “LP” Lake Park District Regulations</w:t>
      </w:r>
    </w:p>
    <w:bookmarkEnd w:id="0"/>
    <w:p w14:paraId="0C76798C" w14:textId="4FFCDD1C" w:rsidR="00A043E6" w:rsidRPr="00A043E6" w:rsidRDefault="00A61A66" w:rsidP="00A043E6">
      <w:pPr>
        <w:rPr>
          <w:rStyle w:val="SubtitleChar"/>
          <w:rFonts w:asciiTheme="minorHAnsi" w:hAnsiTheme="minorHAnsi"/>
          <w:b/>
          <w:bCs/>
          <w:i w:val="0"/>
          <w:color w:val="000000" w:themeColor="text1"/>
          <w:u w:val="single"/>
        </w:rPr>
      </w:pPr>
      <w:r w:rsidRPr="00A043E6">
        <w:rPr>
          <w:b/>
          <w:bCs/>
          <w:color w:val="000000" w:themeColor="text1"/>
          <w:sz w:val="28"/>
          <w:szCs w:val="28"/>
          <w:u w:val="single"/>
        </w:rPr>
        <w:t xml:space="preserve">9. Commercial Storage Garages </w:t>
      </w:r>
      <w:r w:rsidR="00C04076" w:rsidRPr="00A043E6">
        <w:rPr>
          <w:rStyle w:val="SubtitleChar"/>
          <w:rFonts w:asciiTheme="minorHAnsi" w:hAnsiTheme="minorHAnsi"/>
          <w:b/>
          <w:bCs/>
          <w:i w:val="0"/>
          <w:color w:val="000000" w:themeColor="text1"/>
          <w:u w:val="single"/>
        </w:rPr>
        <w:tab/>
      </w:r>
    </w:p>
    <w:p w14:paraId="02E666C2" w14:textId="77777777" w:rsidR="00A043E6" w:rsidRPr="00A043E6" w:rsidRDefault="00C04076"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sidRPr="00A043E6">
        <w:rPr>
          <w:rStyle w:val="SubtitleChar"/>
          <w:rFonts w:asciiTheme="minorHAnsi" w:hAnsiTheme="minorHAnsi"/>
          <w:b/>
          <w:bCs/>
          <w:i w:val="0"/>
          <w:color w:val="000000" w:themeColor="text1"/>
          <w:u w:val="single"/>
        </w:rPr>
        <w:t>Access. For all proposed structure adjacent to the State highway, an access permit from the State of South Dakota Department of Transportation sha</w:t>
      </w:r>
      <w:r w:rsidR="00D14284" w:rsidRPr="00A043E6">
        <w:rPr>
          <w:rStyle w:val="SubtitleChar"/>
          <w:rFonts w:asciiTheme="minorHAnsi" w:hAnsiTheme="minorHAnsi"/>
          <w:b/>
          <w:bCs/>
          <w:i w:val="0"/>
          <w:color w:val="000000" w:themeColor="text1"/>
          <w:u w:val="single"/>
        </w:rPr>
        <w:t xml:space="preserve">ll be required prior to the </w:t>
      </w:r>
      <w:r w:rsidR="0098343F" w:rsidRPr="00A043E6">
        <w:rPr>
          <w:rStyle w:val="SubtitleChar"/>
          <w:rFonts w:asciiTheme="minorHAnsi" w:hAnsiTheme="minorHAnsi"/>
          <w:b/>
          <w:bCs/>
          <w:i w:val="0"/>
          <w:color w:val="000000" w:themeColor="text1"/>
          <w:u w:val="single"/>
        </w:rPr>
        <w:t>filing</w:t>
      </w:r>
      <w:r w:rsidRPr="00A043E6">
        <w:rPr>
          <w:rStyle w:val="SubtitleChar"/>
          <w:rFonts w:asciiTheme="minorHAnsi" w:hAnsiTheme="minorHAnsi"/>
          <w:b/>
          <w:bCs/>
          <w:i w:val="0"/>
          <w:color w:val="000000" w:themeColor="text1"/>
          <w:u w:val="single"/>
        </w:rPr>
        <w:t xml:space="preserve"> of a plat or the issuance of a building permit.</w:t>
      </w:r>
    </w:p>
    <w:p w14:paraId="50CAE12F" w14:textId="58A4DB28" w:rsidR="00A043E6" w:rsidRPr="00A043E6" w:rsidRDefault="00C04076"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sidRPr="00A043E6">
        <w:rPr>
          <w:rStyle w:val="SubtitleChar"/>
          <w:rFonts w:asciiTheme="minorHAnsi" w:hAnsiTheme="minorHAnsi"/>
          <w:b/>
          <w:bCs/>
          <w:i w:val="0"/>
          <w:color w:val="000000" w:themeColor="text1"/>
          <w:u w:val="single"/>
        </w:rPr>
        <w:t xml:space="preserve">Lot Area. Lot area shall be determined by need, side yards, rear yards, parking requirements, building site and future expansion; however in no case shall the lot have less than three (3) acres. </w:t>
      </w:r>
      <w:r w:rsidR="00362BA2" w:rsidRPr="00A043E6">
        <w:rPr>
          <w:rStyle w:val="SubtitleChar"/>
          <w:rFonts w:asciiTheme="minorHAnsi" w:hAnsiTheme="minorHAnsi"/>
          <w:b/>
          <w:bCs/>
          <w:i w:val="0"/>
          <w:color w:val="000000" w:themeColor="text1"/>
          <w:u w:val="single"/>
        </w:rPr>
        <w:t>Lot elevation must be three (3) feet above the most recent high</w:t>
      </w:r>
      <w:r w:rsidR="00A043E6">
        <w:rPr>
          <w:rStyle w:val="SubtitleChar"/>
          <w:rFonts w:asciiTheme="minorHAnsi" w:hAnsiTheme="minorHAnsi"/>
          <w:b/>
          <w:bCs/>
          <w:i w:val="0"/>
          <w:color w:val="000000" w:themeColor="text1"/>
          <w:u w:val="single"/>
        </w:rPr>
        <w:t>-</w:t>
      </w:r>
      <w:r w:rsidR="00362BA2" w:rsidRPr="00A043E6">
        <w:rPr>
          <w:rStyle w:val="SubtitleChar"/>
          <w:rFonts w:asciiTheme="minorHAnsi" w:hAnsiTheme="minorHAnsi"/>
          <w:b/>
          <w:bCs/>
          <w:i w:val="0"/>
          <w:color w:val="000000" w:themeColor="text1"/>
          <w:u w:val="single"/>
        </w:rPr>
        <w:t>water level.</w:t>
      </w:r>
    </w:p>
    <w:p w14:paraId="05651DBB" w14:textId="77777777" w:rsidR="00A043E6" w:rsidRPr="00A043E6" w:rsidRDefault="00C04076"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sidRPr="00A043E6">
        <w:rPr>
          <w:rStyle w:val="SubtitleChar"/>
          <w:rFonts w:asciiTheme="minorHAnsi" w:hAnsiTheme="minorHAnsi"/>
          <w:b/>
          <w:bCs/>
          <w:i w:val="0"/>
          <w:color w:val="000000" w:themeColor="text1"/>
          <w:u w:val="single"/>
        </w:rPr>
        <w:t xml:space="preserve">Storage. All outdoor storage within five hundred (500) feet of a residential dwelling, commercial business or structure, </w:t>
      </w:r>
      <w:r w:rsidR="003D04DA" w:rsidRPr="00A043E6">
        <w:rPr>
          <w:rStyle w:val="SubtitleChar"/>
          <w:rFonts w:asciiTheme="minorHAnsi" w:hAnsiTheme="minorHAnsi"/>
          <w:b/>
          <w:bCs/>
          <w:i w:val="0"/>
          <w:color w:val="000000" w:themeColor="text1"/>
          <w:u w:val="single"/>
        </w:rPr>
        <w:t xml:space="preserve">public park, public roadway, or approved camp site, must be completely enclosed in a building or by a solid walled fence at least two (2) feet above the highest point of the storage material. The fence shall be maintained in safe and good repair. The County may require asphalt or concrete surface of parking area. </w:t>
      </w:r>
    </w:p>
    <w:p w14:paraId="50CEEE66" w14:textId="77777777" w:rsidR="00A043E6" w:rsidRPr="00A043E6" w:rsidRDefault="003D04DA"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sidRPr="00A043E6">
        <w:rPr>
          <w:rStyle w:val="SubtitleChar"/>
          <w:rFonts w:asciiTheme="minorHAnsi" w:hAnsiTheme="minorHAnsi"/>
          <w:b/>
          <w:bCs/>
          <w:i w:val="0"/>
          <w:color w:val="000000" w:themeColor="text1"/>
          <w:u w:val="single"/>
        </w:rPr>
        <w:t xml:space="preserve">Parking. Each Commercial Storage lot shall have off-street parking. Number of parking spaces shall be determined by the Board of Adjustment. </w:t>
      </w:r>
      <w:r w:rsidR="00D14284" w:rsidRPr="00A043E6">
        <w:rPr>
          <w:rStyle w:val="SubtitleChar"/>
          <w:rFonts w:asciiTheme="minorHAnsi" w:hAnsiTheme="minorHAnsi"/>
          <w:b/>
          <w:bCs/>
          <w:i w:val="0"/>
          <w:color w:val="000000" w:themeColor="text1"/>
          <w:u w:val="single"/>
        </w:rPr>
        <w:t>Trees used for landscaping with</w:t>
      </w:r>
      <w:r w:rsidRPr="00A043E6">
        <w:rPr>
          <w:rStyle w:val="SubtitleChar"/>
          <w:rFonts w:asciiTheme="minorHAnsi" w:hAnsiTheme="minorHAnsi"/>
          <w:b/>
          <w:bCs/>
          <w:i w:val="0"/>
          <w:color w:val="000000" w:themeColor="text1"/>
          <w:u w:val="single"/>
        </w:rPr>
        <w:t>in a Commercial Storage lot are ex</w:t>
      </w:r>
      <w:r w:rsidR="00D14284" w:rsidRPr="00A043E6">
        <w:rPr>
          <w:rStyle w:val="SubtitleChar"/>
          <w:rFonts w:asciiTheme="minorHAnsi" w:hAnsiTheme="minorHAnsi"/>
          <w:b/>
          <w:bCs/>
          <w:i w:val="0"/>
          <w:color w:val="000000" w:themeColor="text1"/>
          <w:u w:val="single"/>
        </w:rPr>
        <w:t>emp</w:t>
      </w:r>
      <w:r w:rsidRPr="00A043E6">
        <w:rPr>
          <w:rStyle w:val="SubtitleChar"/>
          <w:rFonts w:asciiTheme="minorHAnsi" w:hAnsiTheme="minorHAnsi"/>
          <w:b/>
          <w:bCs/>
          <w:i w:val="0"/>
          <w:color w:val="000000" w:themeColor="text1"/>
          <w:u w:val="single"/>
        </w:rPr>
        <w:t>t from the minimum front, rear, and side yard requirements.</w:t>
      </w:r>
    </w:p>
    <w:p w14:paraId="11183A90" w14:textId="77777777" w:rsidR="00A043E6" w:rsidRPr="00A043E6" w:rsidRDefault="003D04DA"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sidRPr="00A043E6">
        <w:rPr>
          <w:rStyle w:val="SubtitleChar"/>
          <w:rFonts w:asciiTheme="minorHAnsi" w:hAnsiTheme="minorHAnsi"/>
          <w:b/>
          <w:bCs/>
          <w:i w:val="0"/>
          <w:color w:val="000000" w:themeColor="text1"/>
          <w:u w:val="single"/>
        </w:rPr>
        <w:t xml:space="preserve">Sewage and Liquid Wastes. No operation shall be carried on which involves the discharge into the sewer, watercourse, river or ground </w:t>
      </w:r>
      <w:r w:rsidR="00163E70" w:rsidRPr="00A043E6">
        <w:rPr>
          <w:rStyle w:val="SubtitleChar"/>
          <w:rFonts w:asciiTheme="minorHAnsi" w:hAnsiTheme="minorHAnsi"/>
          <w:b/>
          <w:bCs/>
          <w:i w:val="0"/>
          <w:color w:val="000000" w:themeColor="text1"/>
          <w:u w:val="single"/>
        </w:rPr>
        <w:t xml:space="preserve">that may contain any radioactive nature, or liquid wastes of chemical nature, which are detrimental to normal sewage plant operations or contaminate to the natural resources. </w:t>
      </w:r>
    </w:p>
    <w:p w14:paraId="57757456" w14:textId="77777777" w:rsidR="00A043E6" w:rsidRPr="00A043E6" w:rsidRDefault="00163E70"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sidRPr="00A043E6">
        <w:rPr>
          <w:rStyle w:val="SubtitleChar"/>
          <w:rFonts w:asciiTheme="minorHAnsi" w:hAnsiTheme="minorHAnsi"/>
          <w:b/>
          <w:bCs/>
          <w:i w:val="0"/>
          <w:color w:val="000000" w:themeColor="text1"/>
          <w:u w:val="single"/>
        </w:rPr>
        <w:t xml:space="preserve">Fire Hazard. No flammable substance may be stored unless handling of said materials is </w:t>
      </w:r>
      <w:r w:rsidR="00A61A66" w:rsidRPr="00A043E6">
        <w:rPr>
          <w:rStyle w:val="SubtitleChar"/>
          <w:rFonts w:asciiTheme="minorHAnsi" w:hAnsiTheme="minorHAnsi"/>
          <w:b/>
          <w:bCs/>
          <w:i w:val="0"/>
          <w:color w:val="000000" w:themeColor="text1"/>
          <w:u w:val="single"/>
        </w:rPr>
        <w:t>in</w:t>
      </w:r>
      <w:r w:rsidRPr="00A043E6">
        <w:rPr>
          <w:rStyle w:val="SubtitleChar"/>
          <w:rFonts w:asciiTheme="minorHAnsi" w:hAnsiTheme="minorHAnsi"/>
          <w:b/>
          <w:bCs/>
          <w:i w:val="0"/>
          <w:color w:val="000000" w:themeColor="text1"/>
          <w:u w:val="single"/>
        </w:rPr>
        <w:t xml:space="preserve"> conformance with the standard of the National Board of Fire Underwriters and any additional regulations that may be adopted by the County Commissioners. </w:t>
      </w:r>
    </w:p>
    <w:p w14:paraId="52B73309" w14:textId="5B9889FE" w:rsidR="00A61A66" w:rsidRPr="00A043E6" w:rsidRDefault="00163E70"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sidRPr="00A043E6">
        <w:rPr>
          <w:rStyle w:val="SubtitleChar"/>
          <w:rFonts w:asciiTheme="minorHAnsi" w:hAnsiTheme="minorHAnsi"/>
          <w:b/>
          <w:bCs/>
          <w:i w:val="0"/>
          <w:color w:val="000000" w:themeColor="text1"/>
          <w:u w:val="single"/>
        </w:rPr>
        <w:t xml:space="preserve">Physical Appearance. All structures must obtain an appearance </w:t>
      </w:r>
      <w:r w:rsidR="00362BA2" w:rsidRPr="00A043E6">
        <w:rPr>
          <w:rStyle w:val="SubtitleChar"/>
          <w:rFonts w:asciiTheme="minorHAnsi" w:hAnsiTheme="minorHAnsi"/>
          <w:b/>
          <w:bCs/>
          <w:i w:val="0"/>
          <w:color w:val="000000" w:themeColor="text1"/>
          <w:u w:val="single"/>
        </w:rPr>
        <w:t>that is in concert with the surrounding structures. Physical appearance must be approved by the Hamlin County Planning and Zoning prior to construction.</w:t>
      </w:r>
    </w:p>
    <w:p w14:paraId="05F2B051" w14:textId="0C028D4F" w:rsidR="00A043E6" w:rsidRPr="00A043E6" w:rsidRDefault="00A043E6" w:rsidP="00A043E6">
      <w:pPr>
        <w:pStyle w:val="ListParagraph"/>
        <w:numPr>
          <w:ilvl w:val="1"/>
          <w:numId w:val="3"/>
        </w:numPr>
        <w:rPr>
          <w:rStyle w:val="SubtitleChar"/>
          <w:rFonts w:asciiTheme="minorHAnsi" w:eastAsiaTheme="minorHAnsi" w:hAnsiTheme="minorHAnsi" w:cstheme="minorBidi"/>
          <w:b/>
          <w:bCs/>
          <w:i w:val="0"/>
          <w:iCs w:val="0"/>
          <w:color w:val="000000" w:themeColor="text1"/>
          <w:spacing w:val="0"/>
          <w:sz w:val="28"/>
          <w:szCs w:val="28"/>
          <w:u w:val="single"/>
        </w:rPr>
      </w:pPr>
      <w:r>
        <w:rPr>
          <w:rStyle w:val="SubtitleChar"/>
          <w:rFonts w:asciiTheme="minorHAnsi" w:hAnsiTheme="minorHAnsi"/>
          <w:b/>
          <w:bCs/>
          <w:i w:val="0"/>
          <w:color w:val="000000" w:themeColor="text1"/>
          <w:u w:val="single"/>
        </w:rPr>
        <w:t>Ex: stucco, brick, horizontal lap siding (steel)</w:t>
      </w:r>
    </w:p>
    <w:p w14:paraId="7E50A061" w14:textId="7439EE25" w:rsidR="00A043E6" w:rsidRPr="00A043E6" w:rsidRDefault="00A043E6" w:rsidP="00A043E6">
      <w:pPr>
        <w:pStyle w:val="ListParagraph"/>
        <w:numPr>
          <w:ilvl w:val="0"/>
          <w:numId w:val="3"/>
        </w:numPr>
        <w:rPr>
          <w:rStyle w:val="SubtitleChar"/>
          <w:rFonts w:asciiTheme="minorHAnsi" w:eastAsiaTheme="minorHAnsi" w:hAnsiTheme="minorHAnsi" w:cstheme="minorBidi"/>
          <w:b/>
          <w:bCs/>
          <w:i w:val="0"/>
          <w:iCs w:val="0"/>
          <w:color w:val="000000" w:themeColor="text1"/>
          <w:spacing w:val="0"/>
          <w:sz w:val="28"/>
          <w:szCs w:val="28"/>
          <w:u w:val="single"/>
        </w:rPr>
      </w:pPr>
      <w:r>
        <w:rPr>
          <w:rStyle w:val="SubtitleChar"/>
          <w:rFonts w:asciiTheme="minorHAnsi" w:hAnsiTheme="minorHAnsi"/>
          <w:b/>
          <w:bCs/>
          <w:i w:val="0"/>
          <w:color w:val="000000" w:themeColor="text1"/>
          <w:u w:val="single"/>
        </w:rPr>
        <w:t xml:space="preserve">Design Plans. Design plans including floor plans and elevation maps need to be submitted to the Zoning Officer as a part of the Conditional Use application. </w:t>
      </w:r>
      <w:bookmarkStart w:id="1" w:name="_GoBack"/>
      <w:bookmarkEnd w:id="1"/>
    </w:p>
    <w:sectPr w:rsidR="00A043E6" w:rsidRPr="00A043E6" w:rsidSect="00B2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83B"/>
    <w:multiLevelType w:val="hybridMultilevel"/>
    <w:tmpl w:val="9E468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C6E19"/>
    <w:multiLevelType w:val="hybridMultilevel"/>
    <w:tmpl w:val="E61C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E3448"/>
    <w:multiLevelType w:val="hybridMultilevel"/>
    <w:tmpl w:val="F474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4D"/>
    <w:rsid w:val="00001E52"/>
    <w:rsid w:val="0000535E"/>
    <w:rsid w:val="000129A4"/>
    <w:rsid w:val="00017F94"/>
    <w:rsid w:val="00020668"/>
    <w:rsid w:val="00024E22"/>
    <w:rsid w:val="0002788C"/>
    <w:rsid w:val="0004122C"/>
    <w:rsid w:val="000724CB"/>
    <w:rsid w:val="00072521"/>
    <w:rsid w:val="00091F55"/>
    <w:rsid w:val="00092F11"/>
    <w:rsid w:val="0009671D"/>
    <w:rsid w:val="000C2850"/>
    <w:rsid w:val="000D2511"/>
    <w:rsid w:val="000D7AA0"/>
    <w:rsid w:val="000F233C"/>
    <w:rsid w:val="00100743"/>
    <w:rsid w:val="00102104"/>
    <w:rsid w:val="00105D2D"/>
    <w:rsid w:val="00113A73"/>
    <w:rsid w:val="001266F9"/>
    <w:rsid w:val="00135115"/>
    <w:rsid w:val="001407EF"/>
    <w:rsid w:val="00141DA8"/>
    <w:rsid w:val="00154070"/>
    <w:rsid w:val="00163E70"/>
    <w:rsid w:val="00164058"/>
    <w:rsid w:val="00164277"/>
    <w:rsid w:val="00177135"/>
    <w:rsid w:val="001804CE"/>
    <w:rsid w:val="00183599"/>
    <w:rsid w:val="00186B0B"/>
    <w:rsid w:val="001B3F5A"/>
    <w:rsid w:val="001C30F1"/>
    <w:rsid w:val="001D2F8E"/>
    <w:rsid w:val="001D6BEA"/>
    <w:rsid w:val="001D73BB"/>
    <w:rsid w:val="001E0488"/>
    <w:rsid w:val="001E268E"/>
    <w:rsid w:val="001E4C09"/>
    <w:rsid w:val="001E78CE"/>
    <w:rsid w:val="001F0001"/>
    <w:rsid w:val="001F2A38"/>
    <w:rsid w:val="00204E6F"/>
    <w:rsid w:val="00221BA1"/>
    <w:rsid w:val="00223FA7"/>
    <w:rsid w:val="002318B8"/>
    <w:rsid w:val="00266F8F"/>
    <w:rsid w:val="002707CB"/>
    <w:rsid w:val="00270E35"/>
    <w:rsid w:val="00271642"/>
    <w:rsid w:val="002760A4"/>
    <w:rsid w:val="00283BDC"/>
    <w:rsid w:val="00284F61"/>
    <w:rsid w:val="00291E18"/>
    <w:rsid w:val="00294A54"/>
    <w:rsid w:val="00295EBE"/>
    <w:rsid w:val="002A01E4"/>
    <w:rsid w:val="002B24DC"/>
    <w:rsid w:val="002B6A28"/>
    <w:rsid w:val="002C19C4"/>
    <w:rsid w:val="002C40BA"/>
    <w:rsid w:val="002D09A1"/>
    <w:rsid w:val="002D0B18"/>
    <w:rsid w:val="002D6455"/>
    <w:rsid w:val="002E28F2"/>
    <w:rsid w:val="002F6C7D"/>
    <w:rsid w:val="003053D1"/>
    <w:rsid w:val="00314729"/>
    <w:rsid w:val="00323E75"/>
    <w:rsid w:val="0034765A"/>
    <w:rsid w:val="003521E3"/>
    <w:rsid w:val="00353BC1"/>
    <w:rsid w:val="00357734"/>
    <w:rsid w:val="003611A8"/>
    <w:rsid w:val="00362BA2"/>
    <w:rsid w:val="003747D0"/>
    <w:rsid w:val="003848B6"/>
    <w:rsid w:val="00385ABC"/>
    <w:rsid w:val="00391AE3"/>
    <w:rsid w:val="00395345"/>
    <w:rsid w:val="003A22D2"/>
    <w:rsid w:val="003B1DF9"/>
    <w:rsid w:val="003B53F0"/>
    <w:rsid w:val="003D04DA"/>
    <w:rsid w:val="003D21AB"/>
    <w:rsid w:val="003D6F9D"/>
    <w:rsid w:val="003E52BA"/>
    <w:rsid w:val="004032F6"/>
    <w:rsid w:val="0040451A"/>
    <w:rsid w:val="00407ABA"/>
    <w:rsid w:val="00413924"/>
    <w:rsid w:val="00416390"/>
    <w:rsid w:val="00431CDC"/>
    <w:rsid w:val="00450CE5"/>
    <w:rsid w:val="00451FE4"/>
    <w:rsid w:val="004606B7"/>
    <w:rsid w:val="00462810"/>
    <w:rsid w:val="00463B0F"/>
    <w:rsid w:val="00476A4A"/>
    <w:rsid w:val="004818D5"/>
    <w:rsid w:val="004913EE"/>
    <w:rsid w:val="00492598"/>
    <w:rsid w:val="0049795E"/>
    <w:rsid w:val="004A3592"/>
    <w:rsid w:val="004A43FE"/>
    <w:rsid w:val="004A53CD"/>
    <w:rsid w:val="004B39D9"/>
    <w:rsid w:val="004B5DFB"/>
    <w:rsid w:val="004B7F67"/>
    <w:rsid w:val="004C3FDB"/>
    <w:rsid w:val="004C4CF1"/>
    <w:rsid w:val="004C5C96"/>
    <w:rsid w:val="004C64B0"/>
    <w:rsid w:val="004C7303"/>
    <w:rsid w:val="004E294C"/>
    <w:rsid w:val="004E3FC1"/>
    <w:rsid w:val="004E7D81"/>
    <w:rsid w:val="004F7A6B"/>
    <w:rsid w:val="00504EDD"/>
    <w:rsid w:val="005057DD"/>
    <w:rsid w:val="00510B6E"/>
    <w:rsid w:val="00513D5E"/>
    <w:rsid w:val="00525433"/>
    <w:rsid w:val="00525F69"/>
    <w:rsid w:val="0052745D"/>
    <w:rsid w:val="005406E8"/>
    <w:rsid w:val="00550CAF"/>
    <w:rsid w:val="0055385C"/>
    <w:rsid w:val="005604C4"/>
    <w:rsid w:val="00564D1E"/>
    <w:rsid w:val="0056688C"/>
    <w:rsid w:val="0058653C"/>
    <w:rsid w:val="0058682A"/>
    <w:rsid w:val="00587F24"/>
    <w:rsid w:val="00590918"/>
    <w:rsid w:val="00596119"/>
    <w:rsid w:val="00596BFC"/>
    <w:rsid w:val="005A003A"/>
    <w:rsid w:val="005A08E6"/>
    <w:rsid w:val="005B0C14"/>
    <w:rsid w:val="005D043D"/>
    <w:rsid w:val="005D36E2"/>
    <w:rsid w:val="005D61A0"/>
    <w:rsid w:val="005D6C8B"/>
    <w:rsid w:val="005E235F"/>
    <w:rsid w:val="005E2D77"/>
    <w:rsid w:val="005F668C"/>
    <w:rsid w:val="005F72F9"/>
    <w:rsid w:val="005F7C4C"/>
    <w:rsid w:val="0060080F"/>
    <w:rsid w:val="0061016A"/>
    <w:rsid w:val="00610FA9"/>
    <w:rsid w:val="006122B3"/>
    <w:rsid w:val="00612E80"/>
    <w:rsid w:val="006220CE"/>
    <w:rsid w:val="00627F32"/>
    <w:rsid w:val="00641E36"/>
    <w:rsid w:val="00651EAA"/>
    <w:rsid w:val="0065389E"/>
    <w:rsid w:val="00673F2A"/>
    <w:rsid w:val="00684DBB"/>
    <w:rsid w:val="00684EFB"/>
    <w:rsid w:val="006912CF"/>
    <w:rsid w:val="0069185E"/>
    <w:rsid w:val="00695A90"/>
    <w:rsid w:val="006963C6"/>
    <w:rsid w:val="006A0C8E"/>
    <w:rsid w:val="006A2596"/>
    <w:rsid w:val="006A5666"/>
    <w:rsid w:val="006B493A"/>
    <w:rsid w:val="006C209E"/>
    <w:rsid w:val="006C4750"/>
    <w:rsid w:val="006C713F"/>
    <w:rsid w:val="006C7996"/>
    <w:rsid w:val="006E24E1"/>
    <w:rsid w:val="006E79CA"/>
    <w:rsid w:val="006F185A"/>
    <w:rsid w:val="007029CA"/>
    <w:rsid w:val="00703E94"/>
    <w:rsid w:val="00710E85"/>
    <w:rsid w:val="007111E1"/>
    <w:rsid w:val="0072111A"/>
    <w:rsid w:val="007212EB"/>
    <w:rsid w:val="00727B36"/>
    <w:rsid w:val="007378D3"/>
    <w:rsid w:val="00741139"/>
    <w:rsid w:val="00746CF3"/>
    <w:rsid w:val="00765E62"/>
    <w:rsid w:val="00770BB6"/>
    <w:rsid w:val="00773269"/>
    <w:rsid w:val="00781197"/>
    <w:rsid w:val="00793BA0"/>
    <w:rsid w:val="00793D6D"/>
    <w:rsid w:val="007A2ECC"/>
    <w:rsid w:val="007A472D"/>
    <w:rsid w:val="007A760F"/>
    <w:rsid w:val="007B2821"/>
    <w:rsid w:val="007C7B28"/>
    <w:rsid w:val="007D752F"/>
    <w:rsid w:val="007D7700"/>
    <w:rsid w:val="007E03F2"/>
    <w:rsid w:val="007F3A12"/>
    <w:rsid w:val="007F501F"/>
    <w:rsid w:val="00810231"/>
    <w:rsid w:val="00815868"/>
    <w:rsid w:val="00821AB5"/>
    <w:rsid w:val="00823040"/>
    <w:rsid w:val="0082375B"/>
    <w:rsid w:val="00830890"/>
    <w:rsid w:val="0083503F"/>
    <w:rsid w:val="00845E78"/>
    <w:rsid w:val="00860C82"/>
    <w:rsid w:val="00882604"/>
    <w:rsid w:val="00885968"/>
    <w:rsid w:val="00886BFC"/>
    <w:rsid w:val="008905AA"/>
    <w:rsid w:val="008A7547"/>
    <w:rsid w:val="008B3153"/>
    <w:rsid w:val="008C7498"/>
    <w:rsid w:val="008D29CD"/>
    <w:rsid w:val="008D58E1"/>
    <w:rsid w:val="008D6FA3"/>
    <w:rsid w:val="008D7C7A"/>
    <w:rsid w:val="008E7B74"/>
    <w:rsid w:val="008F3E27"/>
    <w:rsid w:val="008F65B3"/>
    <w:rsid w:val="00901170"/>
    <w:rsid w:val="00901FEB"/>
    <w:rsid w:val="009037AD"/>
    <w:rsid w:val="00907179"/>
    <w:rsid w:val="00915F24"/>
    <w:rsid w:val="009161CF"/>
    <w:rsid w:val="009215C6"/>
    <w:rsid w:val="0092173A"/>
    <w:rsid w:val="00931EDA"/>
    <w:rsid w:val="0094263D"/>
    <w:rsid w:val="00952C68"/>
    <w:rsid w:val="00971557"/>
    <w:rsid w:val="0098343F"/>
    <w:rsid w:val="00991300"/>
    <w:rsid w:val="00996711"/>
    <w:rsid w:val="00996A43"/>
    <w:rsid w:val="009975FE"/>
    <w:rsid w:val="009A1EF1"/>
    <w:rsid w:val="009B5991"/>
    <w:rsid w:val="009B7538"/>
    <w:rsid w:val="009C1998"/>
    <w:rsid w:val="009C792E"/>
    <w:rsid w:val="009E7A3A"/>
    <w:rsid w:val="00A0122F"/>
    <w:rsid w:val="00A02062"/>
    <w:rsid w:val="00A043E6"/>
    <w:rsid w:val="00A11089"/>
    <w:rsid w:val="00A144C7"/>
    <w:rsid w:val="00A16E84"/>
    <w:rsid w:val="00A2221E"/>
    <w:rsid w:val="00A23490"/>
    <w:rsid w:val="00A35B41"/>
    <w:rsid w:val="00A41362"/>
    <w:rsid w:val="00A42684"/>
    <w:rsid w:val="00A43248"/>
    <w:rsid w:val="00A50EAA"/>
    <w:rsid w:val="00A5507B"/>
    <w:rsid w:val="00A61A66"/>
    <w:rsid w:val="00A92CAB"/>
    <w:rsid w:val="00AA2B65"/>
    <w:rsid w:val="00AB252C"/>
    <w:rsid w:val="00AC0927"/>
    <w:rsid w:val="00AC1067"/>
    <w:rsid w:val="00AC657A"/>
    <w:rsid w:val="00AC69F0"/>
    <w:rsid w:val="00AD2D84"/>
    <w:rsid w:val="00AE4B70"/>
    <w:rsid w:val="00AF461B"/>
    <w:rsid w:val="00B05779"/>
    <w:rsid w:val="00B12304"/>
    <w:rsid w:val="00B14647"/>
    <w:rsid w:val="00B14B16"/>
    <w:rsid w:val="00B25137"/>
    <w:rsid w:val="00B254F3"/>
    <w:rsid w:val="00B357D4"/>
    <w:rsid w:val="00B4304D"/>
    <w:rsid w:val="00B50044"/>
    <w:rsid w:val="00B51252"/>
    <w:rsid w:val="00B51FD3"/>
    <w:rsid w:val="00B530B6"/>
    <w:rsid w:val="00B65180"/>
    <w:rsid w:val="00B72806"/>
    <w:rsid w:val="00B84F67"/>
    <w:rsid w:val="00BA13E2"/>
    <w:rsid w:val="00BA5C57"/>
    <w:rsid w:val="00BA7176"/>
    <w:rsid w:val="00BC3546"/>
    <w:rsid w:val="00BE0F6D"/>
    <w:rsid w:val="00BF090E"/>
    <w:rsid w:val="00C008F7"/>
    <w:rsid w:val="00C02BAD"/>
    <w:rsid w:val="00C03ABB"/>
    <w:rsid w:val="00C04076"/>
    <w:rsid w:val="00C0713C"/>
    <w:rsid w:val="00C15DE6"/>
    <w:rsid w:val="00C23904"/>
    <w:rsid w:val="00C279E0"/>
    <w:rsid w:val="00C324DD"/>
    <w:rsid w:val="00C3537A"/>
    <w:rsid w:val="00C3737D"/>
    <w:rsid w:val="00C41892"/>
    <w:rsid w:val="00C41B17"/>
    <w:rsid w:val="00C429A7"/>
    <w:rsid w:val="00C57941"/>
    <w:rsid w:val="00C57A62"/>
    <w:rsid w:val="00C646C8"/>
    <w:rsid w:val="00C65397"/>
    <w:rsid w:val="00C803D2"/>
    <w:rsid w:val="00C86339"/>
    <w:rsid w:val="00C93F26"/>
    <w:rsid w:val="00C94A60"/>
    <w:rsid w:val="00CA0608"/>
    <w:rsid w:val="00CC6614"/>
    <w:rsid w:val="00CD215D"/>
    <w:rsid w:val="00CE48AE"/>
    <w:rsid w:val="00D016CA"/>
    <w:rsid w:val="00D0284B"/>
    <w:rsid w:val="00D02B7D"/>
    <w:rsid w:val="00D02C7A"/>
    <w:rsid w:val="00D07C44"/>
    <w:rsid w:val="00D14284"/>
    <w:rsid w:val="00D20391"/>
    <w:rsid w:val="00D2429B"/>
    <w:rsid w:val="00D25F83"/>
    <w:rsid w:val="00D5228E"/>
    <w:rsid w:val="00D52CD5"/>
    <w:rsid w:val="00D62395"/>
    <w:rsid w:val="00D6440B"/>
    <w:rsid w:val="00D64DB7"/>
    <w:rsid w:val="00D6565A"/>
    <w:rsid w:val="00D67B3D"/>
    <w:rsid w:val="00D75AD5"/>
    <w:rsid w:val="00D82C9A"/>
    <w:rsid w:val="00DA16BB"/>
    <w:rsid w:val="00DB5DC1"/>
    <w:rsid w:val="00DE3405"/>
    <w:rsid w:val="00DE66C9"/>
    <w:rsid w:val="00DF22D1"/>
    <w:rsid w:val="00DF39D4"/>
    <w:rsid w:val="00DF48BF"/>
    <w:rsid w:val="00DF53BA"/>
    <w:rsid w:val="00E01F2A"/>
    <w:rsid w:val="00E27836"/>
    <w:rsid w:val="00E3738A"/>
    <w:rsid w:val="00E504C3"/>
    <w:rsid w:val="00E51A00"/>
    <w:rsid w:val="00E55638"/>
    <w:rsid w:val="00E57220"/>
    <w:rsid w:val="00E60249"/>
    <w:rsid w:val="00E65535"/>
    <w:rsid w:val="00E65A1E"/>
    <w:rsid w:val="00E75C4E"/>
    <w:rsid w:val="00E81942"/>
    <w:rsid w:val="00EA2DDF"/>
    <w:rsid w:val="00EB441F"/>
    <w:rsid w:val="00EB443E"/>
    <w:rsid w:val="00EC2F15"/>
    <w:rsid w:val="00ED2C3F"/>
    <w:rsid w:val="00ED4CB6"/>
    <w:rsid w:val="00ED7572"/>
    <w:rsid w:val="00EE6344"/>
    <w:rsid w:val="00EE7058"/>
    <w:rsid w:val="00EF3F63"/>
    <w:rsid w:val="00EF5D8C"/>
    <w:rsid w:val="00F04647"/>
    <w:rsid w:val="00F1117E"/>
    <w:rsid w:val="00F150A6"/>
    <w:rsid w:val="00F20FB6"/>
    <w:rsid w:val="00F23364"/>
    <w:rsid w:val="00F25ADC"/>
    <w:rsid w:val="00F275B0"/>
    <w:rsid w:val="00F31F8B"/>
    <w:rsid w:val="00F34887"/>
    <w:rsid w:val="00F3495A"/>
    <w:rsid w:val="00F4093E"/>
    <w:rsid w:val="00F412DC"/>
    <w:rsid w:val="00F46E71"/>
    <w:rsid w:val="00F46FBA"/>
    <w:rsid w:val="00F65C07"/>
    <w:rsid w:val="00F66C3A"/>
    <w:rsid w:val="00F75656"/>
    <w:rsid w:val="00F82C43"/>
    <w:rsid w:val="00F849C5"/>
    <w:rsid w:val="00F95998"/>
    <w:rsid w:val="00FA3087"/>
    <w:rsid w:val="00FA4243"/>
    <w:rsid w:val="00FA745E"/>
    <w:rsid w:val="00FA7E58"/>
    <w:rsid w:val="00FB6646"/>
    <w:rsid w:val="00FC14AE"/>
    <w:rsid w:val="00FC45DA"/>
    <w:rsid w:val="00FD2CC0"/>
    <w:rsid w:val="00FD2E60"/>
    <w:rsid w:val="00FD65F3"/>
    <w:rsid w:val="00FE429A"/>
    <w:rsid w:val="00FE4439"/>
    <w:rsid w:val="00FF2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CE88"/>
  <w15:docId w15:val="{BA24C17E-13D4-48D7-8C99-A7C80996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96"/>
    <w:pPr>
      <w:ind w:left="720"/>
      <w:contextualSpacing/>
    </w:pPr>
  </w:style>
  <w:style w:type="paragraph" w:styleId="Subtitle">
    <w:name w:val="Subtitle"/>
    <w:basedOn w:val="Normal"/>
    <w:next w:val="Normal"/>
    <w:link w:val="SubtitleChar"/>
    <w:uiPriority w:val="11"/>
    <w:qFormat/>
    <w:rsid w:val="00C0407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4076"/>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C04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5E142-A461-4416-ADC5-01AB7514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Nealon</cp:lastModifiedBy>
  <cp:revision>2</cp:revision>
  <cp:lastPrinted>2019-07-12T20:49:00Z</cp:lastPrinted>
  <dcterms:created xsi:type="dcterms:W3CDTF">2019-08-12T16:19:00Z</dcterms:created>
  <dcterms:modified xsi:type="dcterms:W3CDTF">2019-08-12T16:19:00Z</dcterms:modified>
</cp:coreProperties>
</file>